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48" w:rsidRPr="002A060F" w:rsidRDefault="00513648" w:rsidP="002A060F">
      <w:pPr>
        <w:pBdr>
          <w:bottom w:val="single" w:sz="6" w:space="4" w:color="DCDCDC"/>
        </w:pBd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báo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tuyển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chọn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theo</w:t>
      </w:r>
      <w:proofErr w:type="spellEnd"/>
      <w:proofErr w:type="gram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thư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với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Viện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Hàn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Quốc</w:t>
      </w:r>
      <w:proofErr w:type="spellEnd"/>
    </w:p>
    <w:p w:rsidR="00513648" w:rsidRPr="002A060F" w:rsidRDefault="00513648" w:rsidP="0051364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CHƯƠNG TRÌNH HỢP TÁC TRONG KHUÔN KHỔ DỰ </w:t>
      </w:r>
      <w:proofErr w:type="gram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ÁN</w:t>
      </w:r>
      <w:proofErr w:type="gram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THÀNH LẬP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VIỆN KHOA HỌC VÀ CÔNG NGHỆ VIỆT NAM - HÀN QUỐC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MỤC TIÊU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khuôn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khổ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-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Hàn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thúc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đẩy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chia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sẻ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Hàn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(KIST)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-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Hàn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(VKIST)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thúc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đẩy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</w:t>
      </w:r>
      <w:bookmarkStart w:id="0" w:name="_GoBack"/>
      <w:bookmarkEnd w:id="0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am (MOST)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Hàn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LĨNH VỰC HỢP TÁC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YÊU CẦU CHUNG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quen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Kêu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gọi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ràng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buộc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bởi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proofErr w:type="gram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mở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bởi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YÊU CẦU ĐỐI VỚI ĐỀ TÀI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End"/>
    </w:p>
    <w:p w:rsidR="00513648" w:rsidRPr="002A060F" w:rsidRDefault="00513648" w:rsidP="00513648">
      <w:pPr>
        <w:shd w:val="clear" w:color="auto" w:fill="FFFFFF"/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Yêu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cầu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cụ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thể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đối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với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</w:t>
      </w:r>
      <w:proofErr w:type="spellEnd"/>
      <w:proofErr w:type="gramEnd"/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đáp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đáp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10/2019/TT-BKHCN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29/10/2019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đột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chặt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chẽ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Yêu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cầu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</w:t>
      </w:r>
      <w:proofErr w:type="spellEnd"/>
      <w:proofErr w:type="gramEnd"/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NĐT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đáp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III: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ràng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III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tạp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Web of Science, 2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kỷ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NỘP ĐỀ XUẤT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THỜI GIAN NỘP: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Từ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07/4/2021 </w:t>
      </w:r>
      <w:proofErr w:type="spellStart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đến</w:t>
      </w:r>
      <w:proofErr w:type="spellEnd"/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07/6/2021.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10/2019/TT-BKHCN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29/10/2019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tuyến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2A0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http://stm.most.gov.vn</w:t>
      </w:r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proofErr w:type="gram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proofErr w:type="gram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bưu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113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Trần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Hưng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 SỐ LƯỢNG VÀ KINH PHÍ CHO CÁC ĐỀ TÀI ĐƯỢC LỰA CHỌN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10/2019/TT-BKHCN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29/10/2019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ĐÁNH GIÁ VÀ LỰA CHỌN ĐỀ TÀI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tất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tục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10/2019/TT-BKHCN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29/10/2019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 THÔNG TIN LIÊN HỆ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Chị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proofErr w:type="gram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 Trinh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Phó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Á,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Phi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Mỹ</w:t>
      </w:r>
      <w:proofErr w:type="spellEnd"/>
    </w:p>
    <w:p w:rsidR="00513648" w:rsidRPr="002A060F" w:rsidRDefault="00513648" w:rsidP="00513648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</w:p>
    <w:p w:rsidR="00513648" w:rsidRPr="002A060F" w:rsidRDefault="00513648" w:rsidP="00513648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113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Trần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Hưng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</w:p>
    <w:p w:rsidR="00513648" w:rsidRPr="002A060F" w:rsidRDefault="00513648" w:rsidP="00513648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060F">
        <w:rPr>
          <w:rFonts w:ascii="Times New Roman" w:eastAsia="Times New Roman" w:hAnsi="Times New Roman" w:cs="Times New Roman"/>
          <w:color w:val="000000"/>
          <w:sz w:val="26"/>
          <w:szCs w:val="26"/>
        </w:rPr>
        <w:t>Tel: 84-4. 39448901; Fax: 84-4. 39439987; E-mail: </w:t>
      </w:r>
      <w:hyperlink r:id="rId4" w:history="1">
        <w:r w:rsidRPr="002A060F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tomaitrinh@gmail.com</w:t>
        </w:r>
      </w:hyperlink>
    </w:p>
    <w:p w:rsidR="00042BF2" w:rsidRPr="002A060F" w:rsidRDefault="00042BF2">
      <w:pPr>
        <w:rPr>
          <w:rFonts w:ascii="Times New Roman" w:hAnsi="Times New Roman" w:cs="Times New Roman"/>
          <w:sz w:val="26"/>
          <w:szCs w:val="26"/>
        </w:rPr>
      </w:pPr>
    </w:p>
    <w:sectPr w:rsidR="00042BF2" w:rsidRPr="002A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48"/>
    <w:rsid w:val="00042BF2"/>
    <w:rsid w:val="002A060F"/>
    <w:rsid w:val="005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78FB-0028-4F1A-9CCB-AD03688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itr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2021-04-10T02:15:00Z</dcterms:created>
  <dcterms:modified xsi:type="dcterms:W3CDTF">2021-04-10T02:28:00Z</dcterms:modified>
</cp:coreProperties>
</file>